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D65A23">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6C972C" w:themeColor="accent2" w:themeShade="BF"/>
            </w:tcBorders>
          </w:tcPr>
          <w:p w:rsidR="005D5BF5" w:rsidRDefault="005D5BF5">
            <w:pPr>
              <w:pStyle w:val="TableSpace"/>
            </w:pPr>
          </w:p>
        </w:tc>
      </w:tr>
      <w:tr w:rsidR="005D5BF5" w:rsidTr="005D5BF5">
        <w:tc>
          <w:tcPr>
            <w:tcW w:w="5000" w:type="pct"/>
          </w:tcPr>
          <w:p w:rsidR="005D5BF5" w:rsidRDefault="0052432C" w:rsidP="003B6FCD">
            <w:pPr>
              <w:pStyle w:val="Title"/>
            </w:pPr>
            <w:r>
              <w:rPr>
                <w:color w:val="6C972C" w:themeColor="accent2" w:themeShade="BF"/>
              </w:rPr>
              <w:t>2020 First Quarter</w:t>
            </w:r>
            <w:r w:rsidR="00D32517" w:rsidRPr="00D65A23">
              <w:rPr>
                <w:color w:val="6C972C" w:themeColor="accent2" w:themeShade="BF"/>
              </w:rPr>
              <w:t xml:space="preserve"> Newsletter</w:t>
            </w:r>
            <w:r w:rsidR="008674B0">
              <w:rPr>
                <w:color w:val="6C972C" w:themeColor="accent2" w:themeShade="BF"/>
              </w:rPr>
              <w:t xml:space="preserve"> </w:t>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4" w:space="0" w:color="6C972C" w:themeColor="accent2" w:themeShade="BF"/>
            </w:tcBorders>
          </w:tcPr>
          <w:p w:rsidR="005D5BF5" w:rsidRDefault="005D5BF5">
            <w:pPr>
              <w:pStyle w:val="TableSpace"/>
            </w:pPr>
          </w:p>
        </w:tc>
      </w:tr>
    </w:tbl>
    <w:p w:rsidR="000C0836" w:rsidRPr="000C0836" w:rsidRDefault="000C0836" w:rsidP="00355587">
      <w:pPr>
        <w:pStyle w:val="ContactInfo"/>
        <w:spacing w:after="0"/>
        <w:ind w:left="0"/>
        <w:rPr>
          <w:sz w:val="12"/>
        </w:rPr>
      </w:pPr>
    </w:p>
    <w:tbl>
      <w:tblPr>
        <w:tblStyle w:val="NewsletterTable"/>
        <w:tblW w:w="3220" w:type="pct"/>
        <w:tblLook w:val="0660" w:firstRow="1" w:lastRow="1" w:firstColumn="0" w:lastColumn="0" w:noHBand="1" w:noVBand="1"/>
        <w:tblDescription w:val="Intro letter"/>
      </w:tblPr>
      <w:tblGrid>
        <w:gridCol w:w="6955"/>
      </w:tblGrid>
      <w:tr w:rsidR="000C0836" w:rsidTr="007650D4">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6C972C" w:themeColor="accent2" w:themeShade="BF"/>
            </w:tcBorders>
          </w:tcPr>
          <w:p w:rsidR="000C0836" w:rsidRDefault="000C0836" w:rsidP="007650D4">
            <w:pPr>
              <w:pStyle w:val="TableSpace"/>
            </w:pPr>
          </w:p>
        </w:tc>
      </w:tr>
      <w:tr w:rsidR="000C0836" w:rsidTr="000C0836">
        <w:trPr>
          <w:trHeight w:val="828"/>
        </w:trPr>
        <w:tc>
          <w:tcPr>
            <w:tcW w:w="6955" w:type="dxa"/>
          </w:tcPr>
          <w:p w:rsidR="000C0836" w:rsidRPr="001E6454" w:rsidRDefault="0052432C" w:rsidP="000C0836">
            <w:pPr>
              <w:spacing w:after="200" w:line="276" w:lineRule="auto"/>
              <w:rPr>
                <w:i/>
              </w:rPr>
            </w:pPr>
            <w:r>
              <w:rPr>
                <w:i/>
              </w:rPr>
              <w:t xml:space="preserve">Scheduled office closures for this quarter: </w:t>
            </w:r>
            <w:r w:rsidR="000C0836">
              <w:rPr>
                <w:i/>
              </w:rPr>
              <w:t>April 10</w:t>
            </w:r>
            <w:r w:rsidR="000C0836" w:rsidRPr="000C0836">
              <w:rPr>
                <w:i/>
                <w:vertAlign w:val="superscript"/>
              </w:rPr>
              <w:t>th</w:t>
            </w:r>
            <w:r>
              <w:rPr>
                <w:i/>
              </w:rPr>
              <w:t xml:space="preserve"> and May 25</w:t>
            </w:r>
            <w:r w:rsidRPr="0052432C">
              <w:rPr>
                <w:i/>
                <w:vertAlign w:val="superscript"/>
              </w:rPr>
              <w:t>th</w:t>
            </w:r>
            <w:r>
              <w:rPr>
                <w:i/>
                <w:vertAlign w:val="superscript"/>
              </w:rPr>
              <w:t xml:space="preserve">. </w:t>
            </w:r>
            <w:r>
              <w:rPr>
                <w:i/>
              </w:rPr>
              <w:t xml:space="preserve">Reminder you can make payments online or utilize our </w:t>
            </w:r>
            <w:proofErr w:type="spellStart"/>
            <w:r>
              <w:rPr>
                <w:i/>
              </w:rPr>
              <w:t>dropbox</w:t>
            </w:r>
            <w:proofErr w:type="spellEnd"/>
            <w:r>
              <w:rPr>
                <w:i/>
              </w:rPr>
              <w:t>.</w:t>
            </w:r>
          </w:p>
        </w:tc>
      </w:tr>
      <w:tr w:rsidR="000C0836" w:rsidTr="007650D4">
        <w:trPr>
          <w:cnfStyle w:val="010000000000" w:firstRow="0" w:lastRow="1" w:firstColumn="0" w:lastColumn="0" w:oddVBand="0" w:evenVBand="0" w:oddHBand="0" w:evenHBand="0" w:firstRowFirstColumn="0" w:firstRowLastColumn="0" w:lastRowFirstColumn="0" w:lastRowLastColumn="0"/>
        </w:trPr>
        <w:tc>
          <w:tcPr>
            <w:tcW w:w="0" w:type="auto"/>
            <w:tcBorders>
              <w:bottom w:val="single" w:sz="4" w:space="0" w:color="6C972C" w:themeColor="accent2" w:themeShade="BF"/>
            </w:tcBorders>
          </w:tcPr>
          <w:p w:rsidR="000C0836" w:rsidRDefault="000C0836" w:rsidP="000C0836">
            <w:pPr>
              <w:pStyle w:val="TableSpace"/>
              <w:ind w:left="0"/>
            </w:pPr>
          </w:p>
        </w:tc>
      </w:tr>
    </w:tbl>
    <w:p w:rsidR="005D5BF5" w:rsidRDefault="00D32517" w:rsidP="00355587">
      <w:pPr>
        <w:pStyle w:val="ContactInfo"/>
        <w:spacing w:after="0"/>
        <w:ind w:left="0"/>
      </w:pPr>
      <w:r w:rsidRPr="00D65A23">
        <w:rPr>
          <w:noProof/>
          <w:sz w:val="52"/>
        </w:rPr>
        <mc:AlternateContent>
          <mc:Choice Requires="wps">
            <w:drawing>
              <wp:anchor distT="0" distB="0" distL="114300" distR="114300" simplePos="0" relativeHeight="251663360" behindDoc="0" locked="0" layoutInCell="1" allowOverlap="0" wp14:anchorId="6BF553A5" wp14:editId="3D96C92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24695" w:rsidP="0009194B">
                            <w:pPr>
                              <w:pStyle w:val="Photo"/>
                            </w:pPr>
                            <w:r>
                              <w:rPr>
                                <w:noProof/>
                              </w:rPr>
                              <w:drawing>
                                <wp:inline distT="0" distB="0" distL="0" distR="0" wp14:anchorId="658D1A28" wp14:editId="71316292">
                                  <wp:extent cx="1677922" cy="173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CF5A4D" w:rsidRDefault="00D32517" w:rsidP="00CB2743">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5F37C8" w:rsidRPr="005F37C8" w:rsidRDefault="000C0836" w:rsidP="005F37C8">
                                  <w:r w:rsidRPr="005F37C8">
                                    <w:rPr>
                                      <w:b/>
                                    </w:rPr>
                                    <w:t xml:space="preserve">Easter Egg Scavenger Hunt- </w:t>
                                  </w:r>
                                  <w:r w:rsidRPr="005F37C8">
                                    <w:t>The Greenwood Police Department will be hosting an all ages Easter Egg Scavenger Hunt through town during the week of April 13-17</w:t>
                                  </w:r>
                                  <w:r w:rsidRPr="005F37C8">
                                    <w:rPr>
                                      <w:vertAlign w:val="superscript"/>
                                    </w:rPr>
                                    <w:t xml:space="preserve">th. </w:t>
                                  </w:r>
                                  <w:r w:rsidRPr="005F37C8">
                                    <w:t>There will be two eggs hidden each day with clues for their location on our social media pages. Each participant may only find one egg during the entire week. Prizes can be claimed at the PD during office hours until April 30</w:t>
                                  </w:r>
                                  <w:r w:rsidRPr="005F37C8">
                                    <w:rPr>
                                      <w:vertAlign w:val="superscript"/>
                                    </w:rPr>
                                    <w:t>th</w:t>
                                  </w:r>
                                  <w:r w:rsidRPr="005F37C8">
                                    <w:t>.</w:t>
                                  </w:r>
                                </w:p>
                                <w:p w:rsidR="0052432C" w:rsidRDefault="005F37C8" w:rsidP="005F37C8">
                                  <w:r w:rsidRPr="005F37C8">
                                    <w:rPr>
                                      <w:b/>
                                    </w:rPr>
                                    <w:t xml:space="preserve">Drug </w:t>
                                  </w:r>
                                  <w:r>
                                    <w:rPr>
                                      <w:b/>
                                    </w:rPr>
                                    <w:t>Take Back</w:t>
                                  </w:r>
                                  <w:r w:rsidRPr="005F37C8">
                                    <w:rPr>
                                      <w:b/>
                                    </w:rPr>
                                    <w:t>-</w:t>
                                  </w:r>
                                  <w:r w:rsidRPr="005F37C8">
                                    <w:t xml:space="preserve"> </w:t>
                                  </w:r>
                                  <w:r w:rsidRPr="005F37C8">
                                    <w:t>Don’t wait for a Drug Take Back Day, we have a permanent drug collection drop box! You can drop off your expired or unwanted medications at the Police Department Monday-Friday 8am-5pm.</w:t>
                                  </w:r>
                                </w:p>
                                <w:p w:rsidR="005F37C8" w:rsidRPr="005F37C8" w:rsidRDefault="005F37C8" w:rsidP="005F37C8"/>
                                <w:p w:rsidR="000C0836" w:rsidRPr="005F37C8" w:rsidRDefault="0052432C" w:rsidP="000C0836">
                                  <w:pPr>
                                    <w:rPr>
                                      <w:b/>
                                      <w:i/>
                                    </w:rPr>
                                  </w:pPr>
                                  <w:r w:rsidRPr="005F37C8">
                                    <w:rPr>
                                      <w:i/>
                                    </w:rPr>
                                    <w:t xml:space="preserve">You can find details about all of our upcoming events and/or announcements on our social media and website. </w:t>
                                  </w:r>
                                  <w:r w:rsidR="000C0836" w:rsidRPr="005F37C8">
                                    <w:rPr>
                                      <w:i/>
                                    </w:rPr>
                                    <w:t xml:space="preserve">   </w:t>
                                  </w:r>
                                </w:p>
                                <w:p w:rsidR="00CF5A4D" w:rsidRDefault="00CF5A4D" w:rsidP="002174CC">
                                  <w:pPr>
                                    <w:spacing w:before="10" w:after="10"/>
                                  </w:pPr>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BF553A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C24695" w:rsidP="0009194B">
                      <w:pPr>
                        <w:pStyle w:val="Photo"/>
                      </w:pPr>
                      <w:r>
                        <w:rPr>
                          <w:noProof/>
                        </w:rPr>
                        <w:drawing>
                          <wp:inline distT="0" distB="0" distL="0" distR="0" wp14:anchorId="658D1A28" wp14:editId="71316292">
                            <wp:extent cx="1677922" cy="173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CF5A4D" w:rsidRDefault="00D32517" w:rsidP="00CB2743">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5F37C8" w:rsidRPr="005F37C8" w:rsidRDefault="000C0836" w:rsidP="005F37C8">
                            <w:r w:rsidRPr="005F37C8">
                              <w:rPr>
                                <w:b/>
                              </w:rPr>
                              <w:t xml:space="preserve">Easter Egg Scavenger Hunt- </w:t>
                            </w:r>
                            <w:r w:rsidRPr="005F37C8">
                              <w:t>The Greenwood Police Department will be hosting an all ages Easter Egg Scavenger Hunt through town during the week of April 13-17</w:t>
                            </w:r>
                            <w:r w:rsidRPr="005F37C8">
                              <w:rPr>
                                <w:vertAlign w:val="superscript"/>
                              </w:rPr>
                              <w:t xml:space="preserve">th. </w:t>
                            </w:r>
                            <w:r w:rsidRPr="005F37C8">
                              <w:t>There will be two eggs hidden each day with clues for their location on our social media pages. Each participant may only find one egg during the entire week. Prizes can be claimed at the PD during office hours until April 30</w:t>
                            </w:r>
                            <w:r w:rsidRPr="005F37C8">
                              <w:rPr>
                                <w:vertAlign w:val="superscript"/>
                              </w:rPr>
                              <w:t>th</w:t>
                            </w:r>
                            <w:r w:rsidRPr="005F37C8">
                              <w:t>.</w:t>
                            </w:r>
                          </w:p>
                          <w:p w:rsidR="0052432C" w:rsidRDefault="005F37C8" w:rsidP="005F37C8">
                            <w:r w:rsidRPr="005F37C8">
                              <w:rPr>
                                <w:b/>
                              </w:rPr>
                              <w:t xml:space="preserve">Drug </w:t>
                            </w:r>
                            <w:r>
                              <w:rPr>
                                <w:b/>
                              </w:rPr>
                              <w:t>Take Back</w:t>
                            </w:r>
                            <w:r w:rsidRPr="005F37C8">
                              <w:rPr>
                                <w:b/>
                              </w:rPr>
                              <w:t>-</w:t>
                            </w:r>
                            <w:r w:rsidRPr="005F37C8">
                              <w:t xml:space="preserve"> </w:t>
                            </w:r>
                            <w:r w:rsidRPr="005F37C8">
                              <w:t>Don’t wait for a Drug Take Back Day, we have a permanent drug collection drop box! You can drop off your expired or unwanted medications at the Police Department Monday-Friday 8am-5pm.</w:t>
                            </w:r>
                          </w:p>
                          <w:p w:rsidR="005F37C8" w:rsidRPr="005F37C8" w:rsidRDefault="005F37C8" w:rsidP="005F37C8"/>
                          <w:p w:rsidR="000C0836" w:rsidRPr="005F37C8" w:rsidRDefault="0052432C" w:rsidP="000C0836">
                            <w:pPr>
                              <w:rPr>
                                <w:b/>
                                <w:i/>
                              </w:rPr>
                            </w:pPr>
                            <w:r w:rsidRPr="005F37C8">
                              <w:rPr>
                                <w:i/>
                              </w:rPr>
                              <w:t xml:space="preserve">You can find details about all of our upcoming events and/or announcements on our social media and website. </w:t>
                            </w:r>
                            <w:r w:rsidR="000C0836" w:rsidRPr="005F37C8">
                              <w:rPr>
                                <w:i/>
                              </w:rPr>
                              <w:t xml:space="preserve">   </w:t>
                            </w:r>
                          </w:p>
                          <w:p w:rsidR="00CF5A4D" w:rsidRDefault="00CF5A4D" w:rsidP="002174CC">
                            <w:pPr>
                              <w:spacing w:before="10" w:after="10"/>
                            </w:pPr>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v:textbox>
                <w10:wrap type="square" side="left" anchorx="page" anchory="margin"/>
              </v:shape>
            </w:pict>
          </mc:Fallback>
        </mc:AlternateContent>
      </w:r>
    </w:p>
    <w:p w:rsidR="00360C37" w:rsidRPr="0052432C" w:rsidRDefault="00192387" w:rsidP="00360C37">
      <w:pPr>
        <w:spacing w:line="240" w:lineRule="auto"/>
        <w:rPr>
          <w:b/>
          <w:bCs/>
          <w:sz w:val="21"/>
          <w:szCs w:val="21"/>
        </w:rPr>
      </w:pPr>
      <w:r w:rsidRPr="0052432C">
        <w:rPr>
          <w:b/>
          <w:bCs/>
          <w:sz w:val="21"/>
          <w:szCs w:val="21"/>
        </w:rPr>
        <w:t xml:space="preserve">Ordinance E-1, Section 7- I – </w:t>
      </w:r>
      <w:r w:rsidRPr="0052432C">
        <w:rPr>
          <w:bCs/>
          <w:sz w:val="21"/>
          <w:szCs w:val="21"/>
        </w:rPr>
        <w:t>It shall be unlawful for any person to discharge or cause to be discharged any storm water, surface water, groundwater, roof runoff, interior to exterior footing drainage, subsurface drainage, cooling water or unpolluted industrial process waters to any sanitary sewer.</w:t>
      </w:r>
      <w:r w:rsidRPr="0052432C">
        <w:rPr>
          <w:b/>
          <w:bCs/>
          <w:sz w:val="21"/>
          <w:szCs w:val="21"/>
        </w:rPr>
        <w:t xml:space="preserve"> </w:t>
      </w:r>
    </w:p>
    <w:p w:rsidR="00192387" w:rsidRPr="0052432C" w:rsidRDefault="00192387" w:rsidP="00360C37">
      <w:pPr>
        <w:spacing w:line="240" w:lineRule="auto"/>
        <w:rPr>
          <w:b/>
          <w:bCs/>
          <w:sz w:val="21"/>
          <w:szCs w:val="21"/>
        </w:rPr>
      </w:pPr>
      <w:r w:rsidRPr="0052432C">
        <w:rPr>
          <w:b/>
          <w:bCs/>
          <w:sz w:val="21"/>
          <w:szCs w:val="21"/>
        </w:rPr>
        <w:t xml:space="preserve">Sewer Flows – </w:t>
      </w:r>
      <w:r w:rsidRPr="0052432C">
        <w:rPr>
          <w:bCs/>
          <w:sz w:val="21"/>
          <w:szCs w:val="21"/>
        </w:rPr>
        <w:t>We ask all Greenwood residents to make sure that you do NOT discharge or pump any water from a basement sump pump, downspout and/or any type of ground water</w:t>
      </w:r>
      <w:r w:rsidR="00000450" w:rsidRPr="0052432C">
        <w:rPr>
          <w:bCs/>
          <w:sz w:val="21"/>
          <w:szCs w:val="21"/>
        </w:rPr>
        <w:t>/run-off into the Town’s sanitary sewer system. The Town of Greenwood spends considerable funds to have all of the Town’s wastewater properly treated and disposed of. Any unnecessary flow is a waste of dollars. In an attempt to keep rates as low as possible, we ask all residents to double check this important issue. See above Ordinance E-1, Section 7.</w:t>
      </w:r>
      <w:r w:rsidR="00000450" w:rsidRPr="0052432C">
        <w:rPr>
          <w:b/>
          <w:bCs/>
          <w:sz w:val="21"/>
          <w:szCs w:val="21"/>
        </w:rPr>
        <w:t xml:space="preserve"> </w:t>
      </w:r>
    </w:p>
    <w:p w:rsidR="00360C37" w:rsidRPr="0052432C" w:rsidRDefault="00360C37" w:rsidP="00360C37">
      <w:pPr>
        <w:spacing w:line="240" w:lineRule="auto"/>
        <w:rPr>
          <w:b/>
          <w:bCs/>
          <w:sz w:val="21"/>
          <w:szCs w:val="21"/>
        </w:rPr>
      </w:pPr>
      <w:r w:rsidRPr="0052432C">
        <w:rPr>
          <w:b/>
          <w:bCs/>
          <w:sz w:val="21"/>
          <w:szCs w:val="21"/>
        </w:rPr>
        <w:t xml:space="preserve">2020 CENSUS – </w:t>
      </w:r>
      <w:r w:rsidRPr="0052432C">
        <w:rPr>
          <w:bCs/>
          <w:sz w:val="21"/>
          <w:szCs w:val="21"/>
        </w:rPr>
        <w:t>You will be receiving in early April the 2020 Census.  All citizens need to be aware of how important it is for everyone to be counted.  The previous census showed Delaware being just short of 1 million residents.  Exceeding that 1 million number would make Delaware eligible for an additional congressman.  Also, grant funds to the Town are based on population.  Websites:  www.census.gov and/or www.uscensus.org are two that can be explored now, but please do your part to be counted.</w:t>
      </w:r>
    </w:p>
    <w:p w:rsidR="00360C37" w:rsidRPr="0052432C" w:rsidRDefault="00360C37" w:rsidP="00360C37">
      <w:pPr>
        <w:spacing w:line="240" w:lineRule="auto"/>
        <w:rPr>
          <w:b/>
          <w:bCs/>
          <w:sz w:val="21"/>
          <w:szCs w:val="21"/>
        </w:rPr>
      </w:pPr>
      <w:r w:rsidRPr="0052432C">
        <w:rPr>
          <w:b/>
          <w:bCs/>
          <w:sz w:val="21"/>
          <w:szCs w:val="21"/>
        </w:rPr>
        <w:t xml:space="preserve">Bulk Trash Pick-Up – </w:t>
      </w:r>
      <w:r w:rsidRPr="0052432C">
        <w:rPr>
          <w:bCs/>
          <w:sz w:val="21"/>
          <w:szCs w:val="21"/>
        </w:rPr>
        <w:t>The Town of Greenwood will have our bulk trash pick-up on Saturday, May 9, 2020 starting at 6am. Please have your materials placed at the curb prior to the pick-up date. Trash items will ONLY be collected from houses that receive the regular Friday trash pick-up. Items that will NOT be collected: yard waste, automotive batteries, tires, construction debris, flammable/hazardous materials, oil/petroleum products, paint, rock, bricks, concrete blocks, dirt, stumps, or appliances containing CFC/Freon gas (AC units, freezers, refrigerators).</w:t>
      </w:r>
    </w:p>
    <w:p w:rsidR="0052432C" w:rsidRPr="0052432C" w:rsidRDefault="00360C37" w:rsidP="0052432C">
      <w:pPr>
        <w:spacing w:line="240" w:lineRule="auto"/>
        <w:rPr>
          <w:bCs/>
          <w:sz w:val="21"/>
          <w:szCs w:val="21"/>
        </w:rPr>
      </w:pPr>
      <w:r w:rsidRPr="0052432C">
        <w:rPr>
          <w:b/>
          <w:bCs/>
          <w:sz w:val="21"/>
          <w:szCs w:val="21"/>
        </w:rPr>
        <w:t xml:space="preserve">Yard Waste – </w:t>
      </w:r>
      <w:r w:rsidRPr="0052432C">
        <w:rPr>
          <w:bCs/>
          <w:sz w:val="21"/>
          <w:szCs w:val="21"/>
        </w:rPr>
        <w:t xml:space="preserve">Yard waste may be taken to either Delaware Solid Waste Authority location: Ellendale (302) 422-8632 or Bridgeville (302) 337-3521. Please call them for specifics. </w:t>
      </w:r>
    </w:p>
    <w:p w:rsidR="00B73799" w:rsidRPr="0052432C" w:rsidRDefault="0052432C" w:rsidP="0052432C">
      <w:pPr>
        <w:spacing w:line="240" w:lineRule="auto"/>
        <w:rPr>
          <w:bCs/>
          <w:sz w:val="21"/>
          <w:szCs w:val="21"/>
        </w:rPr>
      </w:pPr>
      <w:r w:rsidRPr="0052432C">
        <w:rPr>
          <w:b/>
          <w:bCs/>
          <w:sz w:val="21"/>
          <w:szCs w:val="21"/>
        </w:rPr>
        <w:t xml:space="preserve">Chicken BBQ- </w:t>
      </w:r>
      <w:r w:rsidRPr="0052432C">
        <w:rPr>
          <w:bCs/>
          <w:sz w:val="21"/>
          <w:szCs w:val="21"/>
        </w:rPr>
        <w:t>Th</w:t>
      </w:r>
      <w:bookmarkStart w:id="0" w:name="_GoBack"/>
      <w:bookmarkEnd w:id="0"/>
      <w:r w:rsidRPr="0052432C">
        <w:rPr>
          <w:bCs/>
          <w:sz w:val="21"/>
          <w:szCs w:val="21"/>
        </w:rPr>
        <w:t>e Greenwood Volunteer Fire Department’s weekly chicken BBQ will start Friday, April 17</w:t>
      </w:r>
      <w:r w:rsidRPr="0052432C">
        <w:rPr>
          <w:bCs/>
          <w:sz w:val="21"/>
          <w:szCs w:val="21"/>
          <w:vertAlign w:val="superscript"/>
        </w:rPr>
        <w:t>th</w:t>
      </w:r>
      <w:r w:rsidRPr="0052432C">
        <w:rPr>
          <w:bCs/>
          <w:sz w:val="21"/>
          <w:szCs w:val="21"/>
        </w:rPr>
        <w:t xml:space="preserve">.  </w:t>
      </w:r>
    </w:p>
    <w:sectPr w:rsidR="00B73799" w:rsidRPr="0052432C">
      <w:footerReference w:type="default" r:id="rId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A0" w:rsidRDefault="004B4AA0">
      <w:pPr>
        <w:spacing w:before="0" w:after="0" w:line="240" w:lineRule="auto"/>
      </w:pPr>
      <w:r>
        <w:separator/>
      </w:r>
    </w:p>
  </w:endnote>
  <w:endnote w:type="continuationSeparator" w:id="0">
    <w:p w:rsidR="004B4AA0" w:rsidRDefault="004B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D65A23">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c>
        <w:tcPr>
          <w:tcW w:w="3215" w:type="pct"/>
          <w:tcBorders>
            <w:top w:val="single" w:sz="4" w:space="0" w:color="6C972C" w:themeColor="accent2" w:themeShade="BF"/>
            <w:bottom w:val="single" w:sz="4" w:space="0" w:color="6C972C" w:themeColor="accent2" w:themeShade="BF"/>
          </w:tcBorders>
        </w:tcPr>
        <w:p w:rsidR="005D5BF5" w:rsidRDefault="001972E3">
          <w:pPr>
            <w:pStyle w:val="Footer"/>
          </w:pPr>
          <w:r>
            <w:rPr>
              <w:color w:val="6C972C" w:themeColor="accent2" w:themeShade="BF"/>
            </w:rPr>
            <w:t xml:space="preserve">Visit us on Facebook, Instagram, and Twitter! </w:t>
          </w:r>
          <w:r w:rsidR="001E6454">
            <w:rPr>
              <w:color w:val="6C972C" w:themeColor="accent2" w:themeShade="BF"/>
            </w:rPr>
            <w:t xml:space="preserve"> </w:t>
          </w:r>
        </w:p>
      </w:tc>
      <w:tc>
        <w:tcPr>
          <w:tcW w:w="195" w:type="pct"/>
          <w:tcBorders>
            <w:top w:val="nil"/>
            <w:bottom w:val="nil"/>
          </w:tcBorders>
          <w:shd w:val="clear" w:color="auto" w:fill="auto"/>
        </w:tcPr>
        <w:p w:rsidR="005D5BF5" w:rsidRDefault="005D5BF5">
          <w:pPr>
            <w:pStyle w:val="Footer"/>
          </w:pPr>
        </w:p>
      </w:tc>
      <w:tc>
        <w:tcPr>
          <w:tcW w:w="1585" w:type="pct"/>
          <w:tcBorders>
            <w:top w:val="single" w:sz="4" w:space="0" w:color="6C972C" w:themeColor="accent2" w:themeShade="BF"/>
            <w:bottom w:val="single" w:sz="4" w:space="0" w:color="6C972C" w:themeColor="accent2" w:themeShade="BF"/>
          </w:tcBorders>
        </w:tcPr>
        <w:p w:rsidR="005D5BF5" w:rsidRDefault="00D32517">
          <w:pPr>
            <w:pStyle w:val="Footer"/>
          </w:pPr>
          <w:r w:rsidRPr="00D65A23">
            <w:rPr>
              <w:color w:val="6C972C" w:themeColor="accent2" w:themeShade="BF"/>
            </w:rPr>
            <w:t xml:space="preserve">Page </w:t>
          </w:r>
          <w:r w:rsidRPr="00D65A23">
            <w:rPr>
              <w:color w:val="6C972C" w:themeColor="accent2" w:themeShade="BF"/>
            </w:rPr>
            <w:fldChar w:fldCharType="begin"/>
          </w:r>
          <w:r w:rsidRPr="00D65A23">
            <w:rPr>
              <w:color w:val="6C972C" w:themeColor="accent2" w:themeShade="BF"/>
            </w:rPr>
            <w:instrText xml:space="preserve"> PAGE </w:instrText>
          </w:r>
          <w:r w:rsidRPr="00D65A23">
            <w:rPr>
              <w:color w:val="6C972C" w:themeColor="accent2" w:themeShade="BF"/>
            </w:rPr>
            <w:fldChar w:fldCharType="separate"/>
          </w:r>
          <w:r w:rsidR="005F37C8">
            <w:rPr>
              <w:noProof/>
              <w:color w:val="6C972C" w:themeColor="accent2" w:themeShade="BF"/>
            </w:rPr>
            <w:t>1</w:t>
          </w:r>
          <w:r w:rsidRPr="00D65A23">
            <w:rPr>
              <w:color w:val="6C972C" w:themeColor="accent2" w:themeShade="BF"/>
            </w:rPr>
            <w:fldChar w:fldCharType="end"/>
          </w:r>
          <w:r w:rsidRPr="00D65A23">
            <w:rPr>
              <w:color w:val="6C972C" w:themeColor="accent2" w:themeShade="BF"/>
            </w:rPr>
            <w:t xml:space="preserve"> of </w:t>
          </w:r>
          <w:r w:rsidR="004F279A" w:rsidRPr="00D65A23">
            <w:rPr>
              <w:color w:val="6C972C" w:themeColor="accent2" w:themeShade="BF"/>
            </w:rPr>
            <w:fldChar w:fldCharType="begin"/>
          </w:r>
          <w:r w:rsidR="004F279A" w:rsidRPr="00D65A23">
            <w:rPr>
              <w:color w:val="6C972C" w:themeColor="accent2" w:themeShade="BF"/>
            </w:rPr>
            <w:instrText xml:space="preserve"> NUMPAGES </w:instrText>
          </w:r>
          <w:r w:rsidR="004F279A" w:rsidRPr="00D65A23">
            <w:rPr>
              <w:color w:val="6C972C" w:themeColor="accent2" w:themeShade="BF"/>
            </w:rPr>
            <w:fldChar w:fldCharType="separate"/>
          </w:r>
          <w:r w:rsidR="005F37C8">
            <w:rPr>
              <w:noProof/>
              <w:color w:val="6C972C" w:themeColor="accent2" w:themeShade="BF"/>
            </w:rPr>
            <w:t>1</w:t>
          </w:r>
          <w:r w:rsidR="004F279A" w:rsidRPr="00D65A23">
            <w:rPr>
              <w:noProof/>
              <w:color w:val="6C972C" w:themeColor="accent2" w:themeShade="BF"/>
            </w:rPr>
            <w:fldChar w:fldCharType="end"/>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A0" w:rsidRDefault="004B4AA0">
      <w:pPr>
        <w:spacing w:before="0" w:after="0" w:line="240" w:lineRule="auto"/>
      </w:pPr>
      <w:r>
        <w:separator/>
      </w:r>
    </w:p>
  </w:footnote>
  <w:footnote w:type="continuationSeparator" w:id="0">
    <w:p w:rsidR="004B4AA0" w:rsidRDefault="004B4A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5"/>
    <w:rsid w:val="00000450"/>
    <w:rsid w:val="00057EFB"/>
    <w:rsid w:val="000813DC"/>
    <w:rsid w:val="0009033F"/>
    <w:rsid w:val="0009194B"/>
    <w:rsid w:val="000C0836"/>
    <w:rsid w:val="000F064A"/>
    <w:rsid w:val="00192387"/>
    <w:rsid w:val="001957B3"/>
    <w:rsid w:val="001972E3"/>
    <w:rsid w:val="001E1F2F"/>
    <w:rsid w:val="001E6454"/>
    <w:rsid w:val="002174CC"/>
    <w:rsid w:val="002407E1"/>
    <w:rsid w:val="00256779"/>
    <w:rsid w:val="002709A6"/>
    <w:rsid w:val="00281912"/>
    <w:rsid w:val="002C0C22"/>
    <w:rsid w:val="002F0755"/>
    <w:rsid w:val="003070D7"/>
    <w:rsid w:val="00311658"/>
    <w:rsid w:val="003379BB"/>
    <w:rsid w:val="00355587"/>
    <w:rsid w:val="00355A7D"/>
    <w:rsid w:val="00360C37"/>
    <w:rsid w:val="00364123"/>
    <w:rsid w:val="003B6140"/>
    <w:rsid w:val="003B6FCD"/>
    <w:rsid w:val="003F0815"/>
    <w:rsid w:val="003F3631"/>
    <w:rsid w:val="004376AA"/>
    <w:rsid w:val="00465A50"/>
    <w:rsid w:val="004674BC"/>
    <w:rsid w:val="004825EA"/>
    <w:rsid w:val="004B4AA0"/>
    <w:rsid w:val="004D2D17"/>
    <w:rsid w:val="004F279A"/>
    <w:rsid w:val="005002B3"/>
    <w:rsid w:val="005031DF"/>
    <w:rsid w:val="0052432C"/>
    <w:rsid w:val="00560F76"/>
    <w:rsid w:val="005B4017"/>
    <w:rsid w:val="005D5BF5"/>
    <w:rsid w:val="005E775A"/>
    <w:rsid w:val="005E7BFD"/>
    <w:rsid w:val="005F37C8"/>
    <w:rsid w:val="006414CC"/>
    <w:rsid w:val="00645632"/>
    <w:rsid w:val="00650380"/>
    <w:rsid w:val="00682343"/>
    <w:rsid w:val="00695938"/>
    <w:rsid w:val="006A6970"/>
    <w:rsid w:val="006C6C41"/>
    <w:rsid w:val="006C7265"/>
    <w:rsid w:val="006F6EC7"/>
    <w:rsid w:val="0071024F"/>
    <w:rsid w:val="0075120E"/>
    <w:rsid w:val="0078074C"/>
    <w:rsid w:val="00782E4E"/>
    <w:rsid w:val="00803E0B"/>
    <w:rsid w:val="0082072C"/>
    <w:rsid w:val="008366C3"/>
    <w:rsid w:val="0086146B"/>
    <w:rsid w:val="008674B0"/>
    <w:rsid w:val="008811FD"/>
    <w:rsid w:val="008C31B1"/>
    <w:rsid w:val="008E0824"/>
    <w:rsid w:val="00916257"/>
    <w:rsid w:val="009B3A2D"/>
    <w:rsid w:val="009D0F33"/>
    <w:rsid w:val="009F3DBD"/>
    <w:rsid w:val="00A8202A"/>
    <w:rsid w:val="00AD5D3D"/>
    <w:rsid w:val="00AF04B7"/>
    <w:rsid w:val="00AF4713"/>
    <w:rsid w:val="00B27581"/>
    <w:rsid w:val="00B3044A"/>
    <w:rsid w:val="00B446AA"/>
    <w:rsid w:val="00B73799"/>
    <w:rsid w:val="00B92150"/>
    <w:rsid w:val="00BD3C93"/>
    <w:rsid w:val="00BE6B11"/>
    <w:rsid w:val="00BE757B"/>
    <w:rsid w:val="00C000A2"/>
    <w:rsid w:val="00C24695"/>
    <w:rsid w:val="00C41770"/>
    <w:rsid w:val="00C4425F"/>
    <w:rsid w:val="00C5750D"/>
    <w:rsid w:val="00C92ABF"/>
    <w:rsid w:val="00CA698C"/>
    <w:rsid w:val="00CB2743"/>
    <w:rsid w:val="00CD567F"/>
    <w:rsid w:val="00CF2535"/>
    <w:rsid w:val="00CF5A4D"/>
    <w:rsid w:val="00CF6A58"/>
    <w:rsid w:val="00D06356"/>
    <w:rsid w:val="00D32517"/>
    <w:rsid w:val="00D33BC3"/>
    <w:rsid w:val="00D65A23"/>
    <w:rsid w:val="00D756E3"/>
    <w:rsid w:val="00D839F2"/>
    <w:rsid w:val="00D93533"/>
    <w:rsid w:val="00DA7611"/>
    <w:rsid w:val="00DE59DE"/>
    <w:rsid w:val="00DF3906"/>
    <w:rsid w:val="00E3214F"/>
    <w:rsid w:val="00E46646"/>
    <w:rsid w:val="00E520CC"/>
    <w:rsid w:val="00E75895"/>
    <w:rsid w:val="00E82A65"/>
    <w:rsid w:val="00EC33A0"/>
    <w:rsid w:val="00EE3E09"/>
    <w:rsid w:val="00F15802"/>
    <w:rsid w:val="00F8306F"/>
    <w:rsid w:val="00F86FD0"/>
    <w:rsid w:val="00F9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8BD7A576-5131-4CCB-B1F9-F154F93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60F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character" w:customStyle="1" w:styleId="Heading1Char">
    <w:name w:val="Heading 1 Char"/>
    <w:basedOn w:val="DefaultParagraphFont"/>
    <w:link w:val="Heading1"/>
    <w:rsid w:val="0036412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64123"/>
    <w:rPr>
      <w:rFonts w:asciiTheme="majorHAnsi" w:eastAsiaTheme="majorEastAsia" w:hAnsiTheme="majorHAnsi" w:cstheme="majorBidi"/>
      <w:b/>
      <w:bCs/>
      <w:color w:val="0D0D0D" w:themeColor="text1" w:themeTint="F2"/>
    </w:rPr>
  </w:style>
  <w:style w:type="character" w:styleId="Hyperlink">
    <w:name w:val="Hyperlink"/>
    <w:basedOn w:val="DefaultParagraphFont"/>
    <w:unhideWhenUsed/>
    <w:rsid w:val="003B6FCD"/>
    <w:rPr>
      <w:color w:val="199BD0" w:themeColor="hyperlink"/>
      <w:u w:val="single"/>
    </w:rPr>
  </w:style>
  <w:style w:type="paragraph" w:styleId="NormalWeb">
    <w:name w:val="Normal (Web)"/>
    <w:basedOn w:val="Normal"/>
    <w:uiPriority w:val="99"/>
    <w:unhideWhenUsed/>
    <w:rsid w:val="003B6FCD"/>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2551">
      <w:bodyDiv w:val="1"/>
      <w:marLeft w:val="0"/>
      <w:marRight w:val="0"/>
      <w:marTop w:val="0"/>
      <w:marBottom w:val="0"/>
      <w:divBdr>
        <w:top w:val="none" w:sz="0" w:space="0" w:color="auto"/>
        <w:left w:val="none" w:sz="0" w:space="0" w:color="auto"/>
        <w:bottom w:val="none" w:sz="0" w:space="0" w:color="auto"/>
        <w:right w:val="none" w:sz="0" w:space="0" w:color="auto"/>
      </w:divBdr>
    </w:div>
    <w:div w:id="222061429">
      <w:bodyDiv w:val="1"/>
      <w:marLeft w:val="0"/>
      <w:marRight w:val="0"/>
      <w:marTop w:val="0"/>
      <w:marBottom w:val="0"/>
      <w:divBdr>
        <w:top w:val="none" w:sz="0" w:space="0" w:color="auto"/>
        <w:left w:val="none" w:sz="0" w:space="0" w:color="auto"/>
        <w:bottom w:val="none" w:sz="0" w:space="0" w:color="auto"/>
        <w:right w:val="none" w:sz="0" w:space="0" w:color="auto"/>
      </w:divBdr>
    </w:div>
    <w:div w:id="313872705">
      <w:bodyDiv w:val="1"/>
      <w:marLeft w:val="0"/>
      <w:marRight w:val="0"/>
      <w:marTop w:val="0"/>
      <w:marBottom w:val="0"/>
      <w:divBdr>
        <w:top w:val="none" w:sz="0" w:space="0" w:color="auto"/>
        <w:left w:val="none" w:sz="0" w:space="0" w:color="auto"/>
        <w:bottom w:val="none" w:sz="0" w:space="0" w:color="auto"/>
        <w:right w:val="none" w:sz="0" w:space="0" w:color="auto"/>
      </w:divBdr>
    </w:div>
    <w:div w:id="425082724">
      <w:bodyDiv w:val="1"/>
      <w:marLeft w:val="0"/>
      <w:marRight w:val="0"/>
      <w:marTop w:val="0"/>
      <w:marBottom w:val="0"/>
      <w:divBdr>
        <w:top w:val="none" w:sz="0" w:space="0" w:color="auto"/>
        <w:left w:val="none" w:sz="0" w:space="0" w:color="auto"/>
        <w:bottom w:val="none" w:sz="0" w:space="0" w:color="auto"/>
        <w:right w:val="none" w:sz="0" w:space="0" w:color="auto"/>
      </w:divBdr>
    </w:div>
    <w:div w:id="1168062890">
      <w:bodyDiv w:val="1"/>
      <w:marLeft w:val="0"/>
      <w:marRight w:val="0"/>
      <w:marTop w:val="0"/>
      <w:marBottom w:val="0"/>
      <w:divBdr>
        <w:top w:val="none" w:sz="0" w:space="0" w:color="auto"/>
        <w:left w:val="none" w:sz="0" w:space="0" w:color="auto"/>
        <w:bottom w:val="none" w:sz="0" w:space="0" w:color="auto"/>
        <w:right w:val="none" w:sz="0" w:space="0" w:color="auto"/>
      </w:divBdr>
    </w:div>
    <w:div w:id="19013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lambde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Lambden Shelley</dc:creator>
  <cp:keywords/>
  <cp:lastModifiedBy>Lambden Shelley (Greenwood PD)</cp:lastModifiedBy>
  <cp:revision>4</cp:revision>
  <cp:lastPrinted>2017-11-22T19:34:00Z</cp:lastPrinted>
  <dcterms:created xsi:type="dcterms:W3CDTF">2020-03-12T17:38:00Z</dcterms:created>
  <dcterms:modified xsi:type="dcterms:W3CDTF">2020-03-13T15:41:00Z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